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151" w:rsidRDefault="007F2D3B" w:rsidP="00E46151">
      <w:pPr>
        <w:autoSpaceDE w:val="0"/>
        <w:autoSpaceDN w:val="0"/>
        <w:adjustRightInd w:val="0"/>
        <w:spacing w:after="0" w:line="240" w:lineRule="auto"/>
        <w:rPr>
          <w:rFonts w:ascii="NimbusRomNo9L-Regu" w:hAnsi="NimbusRomNo9L-Regu" w:cs="NimbusRomNo9L-Regu"/>
          <w:sz w:val="20"/>
          <w:szCs w:val="20"/>
        </w:rPr>
      </w:pPr>
      <w:r w:rsidRPr="00561C3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A9C24CD" wp14:editId="233C7A42">
            <wp:extent cx="5692140" cy="58064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D_curve_Mpox.tif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31" b="2307"/>
                    <a:stretch/>
                  </pic:blipFill>
                  <pic:spPr bwMode="auto">
                    <a:xfrm>
                      <a:off x="0" y="0"/>
                      <a:ext cx="5692140" cy="5806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2D3B" w:rsidRPr="00E46151" w:rsidRDefault="007F2D3B" w:rsidP="00E46151">
      <w:pPr>
        <w:autoSpaceDE w:val="0"/>
        <w:autoSpaceDN w:val="0"/>
        <w:adjustRightInd w:val="0"/>
        <w:spacing w:after="0" w:line="240" w:lineRule="auto"/>
        <w:rPr>
          <w:rFonts w:ascii="NimbusRomNo9L-Regu" w:hAnsi="NimbusRomNo9L-Regu" w:cs="NimbusRomNo9L-Regu"/>
          <w:sz w:val="20"/>
          <w:szCs w:val="20"/>
        </w:rPr>
      </w:pPr>
      <w:r w:rsidRPr="00D855B6">
        <w:rPr>
          <w:rFonts w:ascii="NimbusRomNo9L-Regu" w:hAnsi="NimbusRomNo9L-Regu" w:cs="NimbusRomNo9L-Regu"/>
          <w:b/>
          <w:sz w:val="20"/>
          <w:szCs w:val="20"/>
        </w:rPr>
        <w:t xml:space="preserve">Figure </w:t>
      </w:r>
      <w:r>
        <w:rPr>
          <w:rFonts w:ascii="NimbusRomNo9L-Regu" w:hAnsi="NimbusRomNo9L-Regu" w:cs="NimbusRomNo9L-Regu"/>
          <w:b/>
          <w:sz w:val="20"/>
          <w:szCs w:val="20"/>
        </w:rPr>
        <w:t>S2</w:t>
      </w:r>
      <w:r w:rsidRPr="00D855B6">
        <w:rPr>
          <w:rFonts w:ascii="NimbusRomNo9L-Regu" w:hAnsi="NimbusRomNo9L-Regu" w:cs="NimbusRomNo9L-Regu"/>
          <w:b/>
          <w:sz w:val="20"/>
          <w:szCs w:val="20"/>
        </w:rPr>
        <w:t xml:space="preserve">. </w:t>
      </w:r>
      <w:r w:rsidRPr="00D855B6">
        <w:rPr>
          <w:rFonts w:ascii="NimbusRomNo9L-Regu" w:hAnsi="NimbusRomNo9L-Regu" w:cs="NimbusRomNo9L-Regu"/>
          <w:sz w:val="20"/>
          <w:szCs w:val="20"/>
        </w:rPr>
        <w:t>Calibration curves generated with a logistic model of Ct-values for a six-fold serial dilution of known concentration of DNA standard. (a) G2R_G, (B) G2R_NML, and (c) F3L. Error bars represent the standard deviation of qPCR replicates. Dotted purple line indicates assay limit of detection. Dotted green line indicates assay limit of quantification. E; PCR efficiency.</w:t>
      </w:r>
      <w:bookmarkStart w:id="0" w:name="_GoBack"/>
      <w:bookmarkEnd w:id="0"/>
    </w:p>
    <w:sectPr w:rsidR="007F2D3B" w:rsidRPr="00E46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19"/>
    <w:rsid w:val="00012E59"/>
    <w:rsid w:val="003A4037"/>
    <w:rsid w:val="00411D14"/>
    <w:rsid w:val="007F2D3B"/>
    <w:rsid w:val="00BE4819"/>
    <w:rsid w:val="00E4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50608"/>
  <w15:chartTrackingRefBased/>
  <w15:docId w15:val="{C6E3B616-6AA7-4142-B2B7-7ABE24B0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Public Health Agency of Canada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 Fisher</dc:creator>
  <cp:keywords/>
  <dc:description/>
  <cp:lastModifiedBy>Mathew Fisher</cp:lastModifiedBy>
  <cp:revision>4</cp:revision>
  <dcterms:created xsi:type="dcterms:W3CDTF">2025-03-27T13:41:00Z</dcterms:created>
  <dcterms:modified xsi:type="dcterms:W3CDTF">2025-03-27T13:43:00Z</dcterms:modified>
</cp:coreProperties>
</file>